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BF" w:rsidRPr="005269BF" w:rsidRDefault="005269BF" w:rsidP="005269BF">
      <w:pPr>
        <w:widowControl/>
        <w:spacing w:before="625" w:line="380" w:lineRule="atLeast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r w:rsidRPr="005269BF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2022年4月中南大学铝粉爆炸事故后重点危险源实验室突击检查新闻报道</w:t>
      </w:r>
    </w:p>
    <w:p w:rsidR="005269BF" w:rsidRPr="005269BF" w:rsidRDefault="005269BF" w:rsidP="005269BF">
      <w:pPr>
        <w:widowControl/>
        <w:jc w:val="center"/>
        <w:rPr>
          <w:rFonts w:ascii="微软雅黑" w:eastAsia="微软雅黑" w:hAnsi="微软雅黑" w:cs="宋体" w:hint="eastAsia"/>
          <w:color w:val="999999"/>
          <w:kern w:val="0"/>
          <w:sz w:val="19"/>
          <w:szCs w:val="19"/>
        </w:rPr>
      </w:pPr>
      <w:r w:rsidRPr="005269BF">
        <w:rPr>
          <w:rFonts w:ascii="微软雅黑" w:eastAsia="微软雅黑" w:hAnsi="微软雅黑" w:cs="宋体" w:hint="eastAsia"/>
          <w:color w:val="999999"/>
          <w:kern w:val="0"/>
          <w:sz w:val="19"/>
          <w:szCs w:val="19"/>
        </w:rPr>
        <w:t>作者： 时间：2022-04-28 点击数：1343</w:t>
      </w:r>
    </w:p>
    <w:p w:rsidR="005269BF" w:rsidRPr="005269BF" w:rsidRDefault="005269BF" w:rsidP="005269BF">
      <w:pPr>
        <w:widowControl/>
        <w:spacing w:line="408" w:lineRule="atLeast"/>
        <w:ind w:firstLine="480"/>
        <w:jc w:val="center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黑体" w:eastAsia="黑体" w:hAnsi="黑体" w:cs="宋体" w:hint="eastAsia"/>
          <w:color w:val="666666"/>
          <w:kern w:val="0"/>
          <w:sz w:val="39"/>
          <w:szCs w:val="39"/>
        </w:rPr>
        <w:t>2022年4月中南大学铝粉爆炸事故后重点危险源实验室突击检查新闻报道</w:t>
      </w:r>
    </w:p>
    <w:p w:rsidR="005269BF" w:rsidRPr="005269BF" w:rsidRDefault="005269BF" w:rsidP="005269BF">
      <w:pPr>
        <w:widowControl/>
        <w:spacing w:line="408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</w:p>
    <w:p w:rsidR="005269BF" w:rsidRPr="005269BF" w:rsidRDefault="005269BF" w:rsidP="005269BF">
      <w:pPr>
        <w:widowControl/>
        <w:spacing w:line="408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</w:p>
    <w:p w:rsidR="005269BF" w:rsidRPr="005269BF" w:rsidRDefault="005269BF" w:rsidP="005269BF">
      <w:pPr>
        <w:widowControl/>
        <w:spacing w:line="408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4月27日，获悉中南大学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一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实验室发生铝粉爆炸事故，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一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博士研究生大面积烧伤，目前仍在医院救治。学校领导高度重视，要求在春季开学大检查的基础上，组织重点危险源实验室主任交叉检查。27日下午3点，国资处邀请非动力核技术研发中心胡国文教授、医学部基础医学院蒋汝刚教授一行对学校涉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危重点危险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源实验室进行了突击检查，检查情况如下：</w:t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1、医学部药学院Y5-509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危化品台账记录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不规范，只有领用人无使用量、剩余量记录；试剂标签缺失。</w:t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2、医学部药学院Y5-514试剂标签缺失。</w:t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3、医学部药学院Y5-507智能柜存储活泼金属镁、钠无纸质台账；学生未穿着实验服便装进行实验。</w:t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4、医学部药学院Y5-504实验室废液未及时处置。</w:t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5、核技术与化学生物学院Y5-408有机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准备室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库房活泼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金属台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账不全；无监控、防盗门。</w:t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lastRenderedPageBreak/>
        <w:t>6、核技术与化学生物学院Y5-407无机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准备室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库房活泼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金属台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账不全；有数量较多硫酸未上锁；无监控、防盗门。</w:t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7、核技术与化学生物学院Z611有数量较多丙酮未实行上锁管理，无记录台账。</w:t>
      </w:r>
    </w:p>
    <w:p w:rsidR="005269BF" w:rsidRPr="005269BF" w:rsidRDefault="005269BF" w:rsidP="005269BF">
      <w:pPr>
        <w:widowControl/>
        <w:spacing w:line="408" w:lineRule="atLeast"/>
        <w:ind w:firstLine="480"/>
        <w:jc w:val="center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9"/>
          <w:szCs w:val="19"/>
        </w:rPr>
        <w:drawing>
          <wp:inline distT="0" distB="0" distL="0" distR="0">
            <wp:extent cx="3407410" cy="3907790"/>
            <wp:effectExtent l="19050" t="0" r="2540" b="0"/>
            <wp:docPr id="1" name="图片 1" descr="https://gzc.hbust.edu.cn/__local/4/8D/30/5372A1322AAFB69690E8B0AA43D_676E5C7E_21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zc.hbust.edu.cn/__local/4/8D/30/5372A1322AAFB69690E8B0AA43D_676E5C7E_212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39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  <w:t>                   </w:t>
      </w: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Y5-509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危化品台账记录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不规范</w:t>
      </w:r>
    </w:p>
    <w:p w:rsidR="005269BF" w:rsidRPr="005269BF" w:rsidRDefault="005269BF" w:rsidP="005269BF">
      <w:pPr>
        <w:widowControl/>
        <w:spacing w:line="408" w:lineRule="atLeast"/>
        <w:ind w:firstLine="480"/>
        <w:jc w:val="center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9"/>
          <w:szCs w:val="19"/>
        </w:rPr>
        <w:lastRenderedPageBreak/>
        <w:drawing>
          <wp:inline distT="0" distB="0" distL="0" distR="0">
            <wp:extent cx="4761865" cy="3571240"/>
            <wp:effectExtent l="19050" t="0" r="635" b="0"/>
            <wp:docPr id="2" name="图片 2" descr="https://gzc.hbust.edu.cn/__local/8/FB/4E/11D700FD86D2CB3FE3AA3A1293F_5BD0BB51_1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zc.hbust.edu.cn/__local/8/FB/4E/11D700FD86D2CB3FE3AA3A1293F_5BD0BB51_116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  <w:t>                           </w:t>
      </w: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Y5-514试剂标签缺失</w:t>
      </w:r>
    </w:p>
    <w:p w:rsidR="005269BF" w:rsidRPr="005269BF" w:rsidRDefault="005269BF" w:rsidP="005269BF">
      <w:pPr>
        <w:widowControl/>
        <w:spacing w:line="408" w:lineRule="atLeast"/>
        <w:ind w:firstLine="480"/>
        <w:jc w:val="center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9"/>
          <w:szCs w:val="19"/>
        </w:rPr>
        <w:lastRenderedPageBreak/>
        <w:drawing>
          <wp:inline distT="0" distB="0" distL="0" distR="0">
            <wp:extent cx="4761865" cy="6348730"/>
            <wp:effectExtent l="19050" t="0" r="635" b="0"/>
            <wp:docPr id="3" name="图片 3" descr="https://gzc.hbust.edu.cn/__local/F/C0/BE/BB853D4FFC7475DBF54A4B3D3E9_2D2F94DD_3D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zc.hbust.edu.cn/__local/F/C0/BE/BB853D4FFC7475DBF54A4B3D3E9_2D2F94DD_3DE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34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BF" w:rsidRPr="005269BF" w:rsidRDefault="005269BF" w:rsidP="005269BF">
      <w:pPr>
        <w:widowControl/>
        <w:spacing w:line="408" w:lineRule="atLeast"/>
        <w:ind w:firstLine="480"/>
        <w:jc w:val="center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9"/>
          <w:szCs w:val="19"/>
        </w:rPr>
        <w:lastRenderedPageBreak/>
        <w:drawing>
          <wp:inline distT="0" distB="0" distL="0" distR="0">
            <wp:extent cx="4761865" cy="6348730"/>
            <wp:effectExtent l="19050" t="0" r="635" b="0"/>
            <wp:docPr id="4" name="图片 4" descr="https://gzc.hbust.edu.cn/__local/A/1D/20/36D085E5020A2705BBD3F85F00E_4D1CCA8A_3C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zc.hbust.edu.cn/__local/A/1D/20/36D085E5020A2705BBD3F85F00E_4D1CCA8A_3CB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34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Y5-507智能柜存储活泼金属镁、钠无纸质台账；学生未穿着实验服便装进行实验。</w:t>
      </w:r>
    </w:p>
    <w:p w:rsidR="005269BF" w:rsidRPr="005269BF" w:rsidRDefault="005269BF" w:rsidP="005269BF">
      <w:pPr>
        <w:widowControl/>
        <w:spacing w:line="408" w:lineRule="atLeast"/>
        <w:ind w:firstLine="480"/>
        <w:jc w:val="center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9"/>
          <w:szCs w:val="19"/>
        </w:rPr>
        <w:lastRenderedPageBreak/>
        <w:drawing>
          <wp:inline distT="0" distB="0" distL="0" distR="0">
            <wp:extent cx="4761865" cy="3571240"/>
            <wp:effectExtent l="19050" t="0" r="635" b="0"/>
            <wp:docPr id="5" name="图片 5" descr="https://gzc.hbust.edu.cn/__local/C/77/B8/E74D7FC1657646A31C29F78914A_70658147_1B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zc.hbust.edu.cn/__local/C/77/B8/E74D7FC1657646A31C29F78914A_70658147_1B7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  <w:t>                  </w:t>
      </w: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Y5-504实验室废液未及时处置</w:t>
      </w:r>
    </w:p>
    <w:p w:rsidR="005269BF" w:rsidRPr="005269BF" w:rsidRDefault="005269BF" w:rsidP="005269BF">
      <w:pPr>
        <w:widowControl/>
        <w:spacing w:line="408" w:lineRule="atLeast"/>
        <w:ind w:firstLine="480"/>
        <w:jc w:val="center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9"/>
          <w:szCs w:val="19"/>
        </w:rPr>
        <w:drawing>
          <wp:inline distT="0" distB="0" distL="0" distR="0">
            <wp:extent cx="4761865" cy="3571240"/>
            <wp:effectExtent l="19050" t="0" r="635" b="0"/>
            <wp:docPr id="6" name="图片 6" descr="https://gzc.hbust.edu.cn/__local/0/B9/2C/E95A0273228826CADB9B6B5ED22_1EBACC34_13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zc.hbust.edu.cn/__local/0/B9/2C/E95A0273228826CADB9B6B5ED22_1EBACC34_13B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BF" w:rsidRPr="005269BF" w:rsidRDefault="005269BF" w:rsidP="005269BF">
      <w:pPr>
        <w:widowControl/>
        <w:spacing w:line="408" w:lineRule="atLeast"/>
        <w:ind w:firstLine="543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  <w:t>         </w:t>
      </w: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Y5-407无机</w:t>
      </w:r>
      <w:proofErr w:type="gramStart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准备室</w:t>
      </w:r>
      <w:proofErr w:type="gramEnd"/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库房有数量较多硫酸未上锁</w:t>
      </w:r>
    </w:p>
    <w:p w:rsidR="005269BF" w:rsidRPr="005269BF" w:rsidRDefault="005269BF" w:rsidP="005269BF">
      <w:pPr>
        <w:widowControl/>
        <w:spacing w:line="408" w:lineRule="atLeast"/>
        <w:ind w:firstLine="480"/>
        <w:jc w:val="center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9"/>
          <w:szCs w:val="19"/>
        </w:rPr>
        <w:lastRenderedPageBreak/>
        <w:drawing>
          <wp:inline distT="0" distB="0" distL="0" distR="0">
            <wp:extent cx="4761865" cy="2673985"/>
            <wp:effectExtent l="19050" t="0" r="635" b="0"/>
            <wp:docPr id="7" name="图片 7" descr="https://gzc.hbust.edu.cn/__local/E/B9/A7/C8DE4E1C3457231A1F259DEB29F_D83A7548_18F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zc.hbust.edu.cn/__local/E/B9/A7/C8DE4E1C3457231A1F259DEB29F_D83A7548_18FE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BF" w:rsidRPr="005269BF" w:rsidRDefault="005269BF" w:rsidP="005269BF">
      <w:pPr>
        <w:widowControl/>
        <w:spacing w:line="408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</w:pPr>
      <w:r w:rsidRPr="005269BF">
        <w:rPr>
          <w:rFonts w:ascii="微软雅黑" w:eastAsia="微软雅黑" w:hAnsi="微软雅黑" w:cs="宋体" w:hint="eastAsia"/>
          <w:color w:val="666666"/>
          <w:kern w:val="0"/>
          <w:sz w:val="19"/>
          <w:szCs w:val="19"/>
        </w:rPr>
        <w:t>                     </w:t>
      </w:r>
      <w:r w:rsidRPr="005269BF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Z611有数量较多丙酮未实行上锁管理</w:t>
      </w:r>
    </w:p>
    <w:p w:rsidR="007626A8" w:rsidRPr="005269BF" w:rsidRDefault="007626A8"/>
    <w:sectPr w:rsidR="007626A8" w:rsidRPr="005269BF" w:rsidSect="00762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9BF"/>
    <w:rsid w:val="005269BF"/>
    <w:rsid w:val="007626A8"/>
    <w:rsid w:val="00CF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A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269B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269B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269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269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26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1378361316">
          <w:marLeft w:val="0"/>
          <w:marRight w:val="0"/>
          <w:marTop w:val="5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guj</dc:creator>
  <cp:lastModifiedBy>guj</cp:lastModifiedBy>
  <cp:revision>1</cp:revision>
  <dcterms:created xsi:type="dcterms:W3CDTF">2023-02-16T00:57:00Z</dcterms:created>
  <dcterms:modified xsi:type="dcterms:W3CDTF">2023-02-17T09:17:00Z</dcterms:modified>
</cp:coreProperties>
</file>